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1B8" w:rsidRPr="00BA31B8" w:rsidRDefault="00683050" w:rsidP="00BA31B8">
      <w:pPr>
        <w:pStyle w:val="Nagwek2"/>
        <w:spacing w:line="360" w:lineRule="auto"/>
        <w:ind w:right="-1559" w:firstLine="0"/>
        <w:rPr>
          <w:rFonts w:asciiTheme="minorHAnsi" w:hAnsiTheme="minorHAnsi"/>
          <w:bCs/>
          <w:sz w:val="24"/>
          <w:u w:val="single"/>
        </w:rPr>
      </w:pPr>
      <w:r w:rsidRPr="000E32B0">
        <w:rPr>
          <w:rFonts w:asciiTheme="minorHAnsi" w:hAnsiTheme="minorHAnsi"/>
          <w:sz w:val="24"/>
          <w:u w:val="single"/>
        </w:rPr>
        <w:t>Załącznik do Kryteriów wyboru projektów</w:t>
      </w:r>
      <w:r w:rsidR="000E32B0" w:rsidRPr="000E32B0">
        <w:rPr>
          <w:rFonts w:asciiTheme="minorHAnsi" w:hAnsiTheme="minorHAnsi"/>
          <w:bCs/>
          <w:sz w:val="24"/>
          <w:u w:val="single"/>
        </w:rPr>
        <w:t>. Definicje wskaźników produktu i rezultatu.</w:t>
      </w:r>
    </w:p>
    <w:p w:rsidR="00BA31B8" w:rsidRDefault="00BA31B8" w:rsidP="000E32B0">
      <w:pPr>
        <w:spacing w:after="0" w:line="240" w:lineRule="auto"/>
        <w:ind w:right="-1559"/>
        <w:jc w:val="both"/>
        <w:rPr>
          <w:rFonts w:asciiTheme="minorHAnsi" w:hAnsiTheme="minorHAnsi"/>
          <w:b/>
        </w:rPr>
      </w:pPr>
    </w:p>
    <w:p w:rsidR="00D00761" w:rsidRDefault="00D00761" w:rsidP="00D00761">
      <w:pPr>
        <w:spacing w:after="60" w:line="240" w:lineRule="auto"/>
        <w:ind w:right="-1559"/>
        <w:jc w:val="both"/>
      </w:pPr>
      <w:r>
        <w:rPr>
          <w:b/>
        </w:rPr>
        <w:t>Działanie:</w:t>
      </w:r>
      <w:r>
        <w:t xml:space="preserve">  3.5 Efektywność energetyczna i gospodarka niskoemisyjna w ramach ZIT</w:t>
      </w:r>
    </w:p>
    <w:p w:rsidR="00D00761" w:rsidRDefault="00D00761" w:rsidP="008A1B97">
      <w:pPr>
        <w:spacing w:after="60" w:line="240" w:lineRule="auto"/>
        <w:ind w:right="-1417"/>
        <w:jc w:val="both"/>
      </w:pPr>
      <w:r>
        <w:rPr>
          <w:b/>
        </w:rPr>
        <w:t>Poddziałanie:</w:t>
      </w:r>
      <w:r>
        <w:t xml:space="preserve">  3.5.2 Zrównoważona mobilność miejska i promowanie strategii niskoemisyjnych </w:t>
      </w:r>
      <w:r>
        <w:br/>
        <w:t>w ramach ZIT</w:t>
      </w:r>
      <w:bookmarkStart w:id="0" w:name="_GoBack"/>
      <w:bookmarkEnd w:id="0"/>
    </w:p>
    <w:p w:rsidR="00D00761" w:rsidRDefault="00D00761" w:rsidP="008A1B97">
      <w:pPr>
        <w:spacing w:after="60" w:line="240" w:lineRule="auto"/>
        <w:ind w:right="-1417"/>
        <w:jc w:val="both"/>
      </w:pPr>
      <w:r>
        <w:rPr>
          <w:b/>
        </w:rPr>
        <w:t>Oś priorytetowa:</w:t>
      </w:r>
      <w:r>
        <w:t xml:space="preserve"> 3 Efektywność energetyczna i gospodarka niskoemisyjna w regionie</w:t>
      </w:r>
    </w:p>
    <w:p w:rsidR="00D00761" w:rsidRDefault="00D00761" w:rsidP="008A1B97">
      <w:pPr>
        <w:spacing w:after="60" w:line="240" w:lineRule="auto"/>
        <w:ind w:right="-1417"/>
        <w:jc w:val="both"/>
        <w:rPr>
          <w:color w:val="000000"/>
        </w:rPr>
      </w:pPr>
      <w:r>
        <w:rPr>
          <w:b/>
          <w:color w:val="000000"/>
        </w:rPr>
        <w:t>Priorytet:</w:t>
      </w:r>
      <w:r>
        <w:rPr>
          <w:color w:val="000000"/>
        </w:rPr>
        <w:t xml:space="preserve"> 4e </w:t>
      </w:r>
      <w:r>
        <w:rPr>
          <w:rFonts w:cs="Garamond,Bold"/>
          <w:bCs/>
          <w:color w:val="000000"/>
          <w:lang w:eastAsia="pl-PL"/>
        </w:rPr>
        <w:t>Promowanie strategii niskoemisyjnych dla wszystkich rodzajów</w:t>
      </w:r>
      <w:r>
        <w:rPr>
          <w:color w:val="000000"/>
        </w:rPr>
        <w:t xml:space="preserve"> </w:t>
      </w:r>
      <w:r>
        <w:rPr>
          <w:rFonts w:cs="Garamond,Bold"/>
          <w:bCs/>
          <w:color w:val="000000"/>
          <w:lang w:eastAsia="pl-PL"/>
        </w:rPr>
        <w:t xml:space="preserve">terytoriów, </w:t>
      </w:r>
      <w:r>
        <w:rPr>
          <w:rFonts w:cs="Garamond,Bold"/>
          <w:bCs/>
          <w:color w:val="000000"/>
          <w:lang w:eastAsia="pl-PL"/>
        </w:rPr>
        <w:br/>
        <w:t>w szczególności dla obszarów miejskich, w tym wspieranie zrównoważonej</w:t>
      </w:r>
      <w:r>
        <w:rPr>
          <w:color w:val="000000"/>
        </w:rPr>
        <w:t xml:space="preserve"> </w:t>
      </w:r>
      <w:r>
        <w:rPr>
          <w:rFonts w:cs="Garamond,Bold"/>
          <w:bCs/>
          <w:color w:val="000000"/>
          <w:lang w:eastAsia="pl-PL"/>
        </w:rPr>
        <w:t>multimodalnej mobilności miejskiej i działań adaptacyjnych mających oddziaływanie</w:t>
      </w:r>
      <w:r>
        <w:rPr>
          <w:color w:val="000000"/>
        </w:rPr>
        <w:t xml:space="preserve"> </w:t>
      </w:r>
      <w:r>
        <w:rPr>
          <w:rFonts w:cs="Garamond,Bold"/>
          <w:bCs/>
          <w:color w:val="000000"/>
          <w:lang w:eastAsia="pl-PL"/>
        </w:rPr>
        <w:t>łagodzące na zmiany klimatu</w:t>
      </w:r>
    </w:p>
    <w:p w:rsidR="00D00761" w:rsidRDefault="00D00761" w:rsidP="008A1B97">
      <w:pPr>
        <w:spacing w:after="60" w:line="240" w:lineRule="auto"/>
        <w:ind w:right="-1417"/>
        <w:jc w:val="both"/>
      </w:pPr>
      <w:r>
        <w:rPr>
          <w:b/>
        </w:rPr>
        <w:t>Cel szczegółowy:</w:t>
      </w:r>
      <w:r>
        <w:t xml:space="preserve">  Zwiększone wykorzystanie transportu publicznego w miastach i ich obszarach funkcjonalnych</w:t>
      </w:r>
    </w:p>
    <w:p w:rsidR="00D00761" w:rsidRDefault="00D00761" w:rsidP="008A1B97">
      <w:pPr>
        <w:autoSpaceDE w:val="0"/>
        <w:autoSpaceDN w:val="0"/>
        <w:adjustRightInd w:val="0"/>
        <w:spacing w:after="60" w:line="240" w:lineRule="auto"/>
        <w:ind w:right="-1417"/>
        <w:jc w:val="both"/>
      </w:pPr>
      <w:r>
        <w:rPr>
          <w:b/>
        </w:rPr>
        <w:t xml:space="preserve">Schemat: </w:t>
      </w:r>
      <w:r>
        <w:t>budowa i przebudowa ścieżek rowerowych w ramach Zintegrowanych Inwestycji Terytorialnych (ZIT)</w:t>
      </w:r>
    </w:p>
    <w:p w:rsidR="006C6526" w:rsidRPr="0087504B" w:rsidRDefault="006C6526" w:rsidP="006C6526">
      <w:pPr>
        <w:autoSpaceDE w:val="0"/>
        <w:autoSpaceDN w:val="0"/>
        <w:adjustRightInd w:val="0"/>
        <w:spacing w:after="0" w:line="240" w:lineRule="auto"/>
        <w:ind w:right="-1559"/>
        <w:rPr>
          <w:rFonts w:cs="Calibri"/>
          <w:sz w:val="13"/>
          <w:szCs w:val="13"/>
          <w:lang w:eastAsia="pl-PL"/>
        </w:rPr>
      </w:pPr>
    </w:p>
    <w:p w:rsidR="00CB02FA"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658"/>
        <w:gridCol w:w="1519"/>
        <w:gridCol w:w="4551"/>
      </w:tblGrid>
      <w:tr w:rsidR="00CB02FA" w:rsidRPr="000E32B0" w:rsidTr="00CB600C">
        <w:trPr>
          <w:trHeight w:val="484"/>
        </w:trPr>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519"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551" w:type="dxa"/>
            <w:shd w:val="clear" w:color="auto" w:fill="F2F2F2"/>
            <w:vAlign w:val="center"/>
          </w:tcPr>
          <w:p w:rsidR="00CB02FA" w:rsidRPr="000E32B0" w:rsidRDefault="00CB02FA" w:rsidP="00FD1DCA">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rsidTr="000E32B0">
        <w:trPr>
          <w:trHeight w:val="535"/>
        </w:trPr>
        <w:tc>
          <w:tcPr>
            <w:tcW w:w="9214" w:type="dxa"/>
            <w:gridSpan w:val="4"/>
            <w:shd w:val="clear" w:color="auto" w:fill="F2F2F2"/>
            <w:vAlign w:val="center"/>
          </w:tcPr>
          <w:p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rsidTr="00CB600C">
        <w:trPr>
          <w:trHeight w:val="575"/>
        </w:trPr>
        <w:tc>
          <w:tcPr>
            <w:tcW w:w="0" w:type="auto"/>
            <w:shd w:val="clear" w:color="auto" w:fill="FFFFFF"/>
            <w:vAlign w:val="center"/>
          </w:tcPr>
          <w:p w:rsidR="0068305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683050" w:rsidRPr="00EC621B" w:rsidRDefault="00EC621B" w:rsidP="00EC621B">
            <w:pPr>
              <w:pStyle w:val="Nagwek3"/>
              <w:spacing w:before="120" w:after="120" w:line="240" w:lineRule="auto"/>
              <w:jc w:val="center"/>
              <w:rPr>
                <w:rFonts w:asciiTheme="minorHAnsi" w:eastAsia="Times New Roman" w:hAnsiTheme="minorHAnsi"/>
                <w:b w:val="0"/>
                <w:color w:val="auto"/>
                <w:lang w:eastAsia="pl-PL"/>
              </w:rPr>
            </w:pPr>
            <w:r w:rsidRPr="00EC621B">
              <w:rPr>
                <w:rFonts w:asciiTheme="minorHAnsi" w:hAnsiTheme="minorHAnsi"/>
                <w:color w:val="auto"/>
              </w:rPr>
              <w:t>Liczba osób korzystających z wybudowanych / przebudowanych dróg dla rowerów</w:t>
            </w:r>
          </w:p>
        </w:tc>
        <w:tc>
          <w:tcPr>
            <w:tcW w:w="1519" w:type="dxa"/>
            <w:shd w:val="clear" w:color="auto" w:fill="FFFFFF"/>
            <w:vAlign w:val="center"/>
          </w:tcPr>
          <w:p w:rsidR="00683050" w:rsidRPr="00790ED5" w:rsidRDefault="00EC621B" w:rsidP="000E32B0">
            <w:pPr>
              <w:spacing w:after="0" w:line="240" w:lineRule="auto"/>
              <w:jc w:val="center"/>
              <w:rPr>
                <w:rFonts w:asciiTheme="minorHAnsi" w:hAnsiTheme="minorHAnsi" w:cs="Arial"/>
              </w:rPr>
            </w:pPr>
            <w:r>
              <w:t>osoby</w:t>
            </w:r>
          </w:p>
        </w:tc>
        <w:tc>
          <w:tcPr>
            <w:tcW w:w="4551" w:type="dxa"/>
            <w:shd w:val="clear" w:color="auto" w:fill="FFFFFF"/>
            <w:vAlign w:val="center"/>
          </w:tcPr>
          <w:p w:rsidR="00683050" w:rsidRPr="00790ED5" w:rsidRDefault="00EC621B" w:rsidP="00FD1DCA">
            <w:pPr>
              <w:spacing w:after="0" w:line="240" w:lineRule="auto"/>
              <w:jc w:val="both"/>
              <w:rPr>
                <w:rFonts w:asciiTheme="minorHAnsi" w:hAnsiTheme="minorHAnsi" w:cs="Arial"/>
              </w:rPr>
            </w:pPr>
            <w:r>
              <w:t>Liczba pojedyncz</w:t>
            </w:r>
            <w:r w:rsidR="00D0522C">
              <w:t>ych przejazdów na wybudowanych/</w:t>
            </w:r>
            <w:r>
              <w:t>przebudowanych drogach dla rowerów. Wielokrotne przejazdy danej osoby każdorazowo wlicza się do wskaźnika.</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rsidR="000E32B0" w:rsidRPr="00EC621B" w:rsidRDefault="00EC621B" w:rsidP="00EC621B">
            <w:pPr>
              <w:pStyle w:val="Nagwek3"/>
              <w:spacing w:before="120" w:after="120" w:line="240" w:lineRule="auto"/>
              <w:jc w:val="center"/>
              <w:rPr>
                <w:rFonts w:asciiTheme="minorHAnsi" w:eastAsia="Times New Roman" w:hAnsiTheme="minorHAnsi"/>
                <w:b w:val="0"/>
                <w:color w:val="auto"/>
                <w:lang w:eastAsia="pl-PL"/>
              </w:rPr>
            </w:pPr>
            <w:r w:rsidRPr="00EC621B">
              <w:rPr>
                <w:rFonts w:asciiTheme="minorHAnsi" w:hAnsiTheme="minorHAnsi"/>
                <w:color w:val="auto"/>
              </w:rPr>
              <w:t>Szacowany roczny spadek emisji gazów cieplarnianych (CI34)</w:t>
            </w:r>
          </w:p>
        </w:tc>
        <w:tc>
          <w:tcPr>
            <w:tcW w:w="1519" w:type="dxa"/>
            <w:shd w:val="clear" w:color="auto" w:fill="FFFFFF"/>
            <w:vAlign w:val="center"/>
          </w:tcPr>
          <w:p w:rsidR="000E32B0" w:rsidRPr="00790ED5" w:rsidRDefault="00EC621B" w:rsidP="000E32B0">
            <w:pPr>
              <w:spacing w:after="0" w:line="240" w:lineRule="auto"/>
              <w:jc w:val="center"/>
              <w:rPr>
                <w:rFonts w:asciiTheme="minorHAnsi" w:hAnsiTheme="minorHAnsi" w:cs="Arial"/>
              </w:rPr>
            </w:pPr>
            <w:r w:rsidRPr="00790ED5">
              <w:rPr>
                <w:rFonts w:asciiTheme="minorHAnsi" w:hAnsiTheme="minorHAnsi"/>
              </w:rPr>
              <w:t>tony równoważnika CO</w:t>
            </w:r>
            <w:r w:rsidRPr="00FC69CE">
              <w:rPr>
                <w:rFonts w:asciiTheme="minorHAnsi" w:hAnsiTheme="minorHAnsi"/>
                <w:vertAlign w:val="subscript"/>
              </w:rPr>
              <w:t>2</w:t>
            </w:r>
          </w:p>
        </w:tc>
        <w:tc>
          <w:tcPr>
            <w:tcW w:w="4551" w:type="dxa"/>
            <w:shd w:val="clear" w:color="auto" w:fill="FFFFFF"/>
            <w:vAlign w:val="center"/>
          </w:tcPr>
          <w:p w:rsidR="00EC621B" w:rsidRDefault="00EC621B" w:rsidP="00EC621B">
            <w:pPr>
              <w:spacing w:after="120" w:line="240" w:lineRule="auto"/>
              <w:jc w:val="both"/>
            </w:pPr>
            <w:r>
              <w:t xml:space="preserve">Wskaźnik </w:t>
            </w:r>
            <w:r w:rsidR="00324B81">
              <w:rPr>
                <w:rFonts w:asciiTheme="minorHAnsi" w:hAnsiTheme="minorHAnsi"/>
              </w:rPr>
              <w:t xml:space="preserve">dotyczy redukcji </w:t>
            </w:r>
            <w:r w:rsidR="00324B81" w:rsidRPr="00790ED5">
              <w:rPr>
                <w:rFonts w:asciiTheme="minorHAnsi" w:hAnsiTheme="minorHAnsi"/>
              </w:rPr>
              <w:t>CO</w:t>
            </w:r>
            <w:r w:rsidR="00324B81" w:rsidRPr="00FC69CE">
              <w:rPr>
                <w:rFonts w:asciiTheme="minorHAnsi" w:hAnsiTheme="minorHAnsi"/>
                <w:vertAlign w:val="subscript"/>
              </w:rPr>
              <w:t>2</w:t>
            </w:r>
            <w:r w:rsidR="00324B81">
              <w:rPr>
                <w:rFonts w:asciiTheme="minorHAnsi" w:hAnsiTheme="minorHAnsi"/>
                <w:vertAlign w:val="subscript"/>
              </w:rPr>
              <w:t xml:space="preserve"> </w:t>
            </w:r>
            <w:r w:rsidR="00324B81">
              <w:rPr>
                <w:rFonts w:asciiTheme="minorHAnsi" w:hAnsiTheme="minorHAnsi"/>
              </w:rPr>
              <w:t>i</w:t>
            </w:r>
            <w:r w:rsidR="00324B81">
              <w:t xml:space="preserve"> </w:t>
            </w:r>
            <w:r>
              <w:t xml:space="preserve">mierzy łączny szacunkowy roczny spadek na koniec okresu, </w:t>
            </w:r>
            <w:r w:rsidR="00324B81">
              <w:br/>
            </w:r>
            <w:r>
              <w:t xml:space="preserve">a nie całkowity spadek w całym okresie. </w:t>
            </w:r>
            <w:r w:rsidR="00324B81">
              <w:br/>
            </w:r>
            <w:r>
              <w:t>W przypadku działań związanych z transportem rowerowym, spadek emisji gazów cieplarnianych wynika ze zmiany schematów mobilności mieszkańców, którzy zamiast transportu indywidualnego sa</w:t>
            </w:r>
            <w:r w:rsidR="00FC2E10">
              <w:t xml:space="preserve">mochodowego wybierają transport </w:t>
            </w:r>
            <w:r>
              <w:t>rowerowy.</w:t>
            </w:r>
          </w:p>
          <w:p w:rsidR="000E32B0" w:rsidRPr="00790ED5" w:rsidRDefault="00EC621B" w:rsidP="00FD1DCA">
            <w:pPr>
              <w:spacing w:after="0" w:line="240" w:lineRule="auto"/>
              <w:jc w:val="both"/>
              <w:rPr>
                <w:rFonts w:asciiTheme="minorHAnsi" w:hAnsiTheme="minorHAnsi" w:cs="Arial"/>
              </w:rPr>
            </w:pPr>
            <w:r>
              <w:t xml:space="preserve">Należy wyznaczyć szacowaną pracę przewozową (wyrażoną w </w:t>
            </w:r>
            <w:proofErr w:type="spellStart"/>
            <w:r>
              <w:t>pasażero-km</w:t>
            </w:r>
            <w:proofErr w:type="spellEnd"/>
            <w:r>
              <w:t>), która w wyniku realizacji projektu będzie wykonana transportem rowerowym zamiast indywidualnym samochodowym. Redukcję CO</w:t>
            </w:r>
            <w:r w:rsidRPr="00EC621B">
              <w:rPr>
                <w:vertAlign w:val="subscript"/>
              </w:rPr>
              <w:t>2</w:t>
            </w:r>
            <w:r>
              <w:t xml:space="preserve"> uzyskuje się jako iloczyn redukcji tej pracy przez jednostkową redukcję emisji wynoszącą </w:t>
            </w:r>
            <w:r w:rsidRPr="00EC621B">
              <w:rPr>
                <w:u w:val="single"/>
              </w:rPr>
              <w:t>150 g/pas-km</w:t>
            </w:r>
            <w:r>
              <w:t>.</w:t>
            </w:r>
          </w:p>
        </w:tc>
      </w:tr>
      <w:tr w:rsidR="000E32B0" w:rsidRPr="000E32B0" w:rsidTr="000E32B0">
        <w:trPr>
          <w:trHeight w:val="535"/>
        </w:trPr>
        <w:tc>
          <w:tcPr>
            <w:tcW w:w="9214" w:type="dxa"/>
            <w:gridSpan w:val="4"/>
            <w:shd w:val="clear" w:color="auto" w:fill="F2F2F2"/>
            <w:vAlign w:val="center"/>
          </w:tcPr>
          <w:p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t>Wskaźnik produktu</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0E32B0" w:rsidRPr="00A714F6" w:rsidRDefault="00EC621B"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wspartej infrastruktury rowerowej</w:t>
            </w:r>
          </w:p>
        </w:tc>
        <w:tc>
          <w:tcPr>
            <w:tcW w:w="1519" w:type="dxa"/>
            <w:shd w:val="clear" w:color="auto" w:fill="FFFFFF"/>
            <w:vAlign w:val="center"/>
          </w:tcPr>
          <w:p w:rsidR="000E32B0" w:rsidRPr="000E32B0" w:rsidRDefault="00EC621B" w:rsidP="000E32B0">
            <w:pPr>
              <w:spacing w:after="0" w:line="240" w:lineRule="auto"/>
              <w:jc w:val="center"/>
              <w:rPr>
                <w:rFonts w:asciiTheme="minorHAnsi" w:hAnsiTheme="minorHAnsi" w:cs="Arial"/>
              </w:rPr>
            </w:pPr>
            <w:r>
              <w:t>km</w:t>
            </w:r>
          </w:p>
        </w:tc>
        <w:tc>
          <w:tcPr>
            <w:tcW w:w="4551" w:type="dxa"/>
            <w:shd w:val="clear" w:color="auto" w:fill="FFFFFF"/>
            <w:vAlign w:val="center"/>
          </w:tcPr>
          <w:p w:rsidR="00EC621B" w:rsidRDefault="00EC621B" w:rsidP="00244AB9">
            <w:pPr>
              <w:spacing w:after="0" w:line="240" w:lineRule="auto"/>
              <w:jc w:val="both"/>
            </w:pPr>
            <w:r>
              <w:t xml:space="preserve">Długość wybudowanego, przebudowanego lub wyznaczonego odcinka drogi przeznaczonej do ruchu rowerów. Wskaźnik stanowi sumę wskaźników: </w:t>
            </w:r>
          </w:p>
          <w:p w:rsidR="00EC621B" w:rsidRDefault="00EC621B" w:rsidP="00244AB9">
            <w:pPr>
              <w:spacing w:after="0" w:line="240" w:lineRule="auto"/>
              <w:jc w:val="both"/>
            </w:pPr>
            <w:r>
              <w:sym w:font="Symbol" w:char="F02D"/>
            </w:r>
            <w:r>
              <w:t xml:space="preserve"> Długość wybudowanych dróg dla rowerów, </w:t>
            </w:r>
          </w:p>
          <w:p w:rsidR="00EC621B" w:rsidRDefault="00EC621B" w:rsidP="00244AB9">
            <w:pPr>
              <w:spacing w:after="0" w:line="240" w:lineRule="auto"/>
              <w:jc w:val="both"/>
            </w:pPr>
            <w:r>
              <w:lastRenderedPageBreak/>
              <w:sym w:font="Symbol" w:char="F02D"/>
            </w:r>
            <w:r>
              <w:t xml:space="preserve"> Długość przebudowanych dróg dla rowerów, </w:t>
            </w:r>
          </w:p>
          <w:p w:rsidR="000E32B0" w:rsidRPr="000E32B0" w:rsidRDefault="00EC621B" w:rsidP="00244AB9">
            <w:pPr>
              <w:spacing w:after="0" w:line="240" w:lineRule="auto"/>
              <w:jc w:val="both"/>
              <w:rPr>
                <w:rFonts w:asciiTheme="minorHAnsi" w:eastAsia="Times New Roman" w:hAnsiTheme="minorHAnsi"/>
                <w:lang w:eastAsia="pl-PL"/>
              </w:rPr>
            </w:pPr>
            <w:r>
              <w:sym w:font="Symbol" w:char="F02D"/>
            </w:r>
            <w:r>
              <w:t xml:space="preserve"> Długość wyznaczonych ścieżek rowerowych.</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rsidR="000E32B0" w:rsidRPr="00A714F6" w:rsidRDefault="00EC621B"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wybudowanych dróg dla rowerów</w:t>
            </w:r>
          </w:p>
        </w:tc>
        <w:tc>
          <w:tcPr>
            <w:tcW w:w="1519" w:type="dxa"/>
            <w:shd w:val="clear" w:color="auto" w:fill="FFFFFF"/>
            <w:vAlign w:val="center"/>
          </w:tcPr>
          <w:p w:rsidR="000E32B0" w:rsidRPr="000E32B0" w:rsidRDefault="00EC621B" w:rsidP="000E32B0">
            <w:pPr>
              <w:spacing w:after="0" w:line="240" w:lineRule="auto"/>
              <w:jc w:val="center"/>
              <w:rPr>
                <w:rFonts w:asciiTheme="minorHAnsi" w:hAnsiTheme="minorHAnsi" w:cs="Arial"/>
              </w:rPr>
            </w:pPr>
            <w:r>
              <w:t>km</w:t>
            </w:r>
          </w:p>
        </w:tc>
        <w:tc>
          <w:tcPr>
            <w:tcW w:w="4551" w:type="dxa"/>
            <w:shd w:val="clear" w:color="auto" w:fill="FFFFFF"/>
            <w:vAlign w:val="center"/>
          </w:tcPr>
          <w:p w:rsidR="00A714F6" w:rsidRDefault="00EC621B" w:rsidP="00A714F6">
            <w:pPr>
              <w:spacing w:after="120" w:line="240" w:lineRule="auto"/>
              <w:jc w:val="both"/>
            </w:pPr>
            <w:r>
              <w:t xml:space="preserve">Długość wybudowanego odcinka drogi przeznaczonej do ruchu rowerów, tj. oddzielonej od innych dróg lub jezdni tej samej drogi konstrukcyjnie lub za pomocą urządzeń bezpieczeństwa ruchu drogowego oraz oznaczonej </w:t>
            </w:r>
            <w:r w:rsidR="00A714F6">
              <w:t>odpowiednimi znakami drogowymi.</w:t>
            </w:r>
          </w:p>
          <w:p w:rsidR="00A51E92" w:rsidRPr="00A51E92" w:rsidRDefault="00EC621B" w:rsidP="00A51E92">
            <w:pPr>
              <w:spacing w:after="0" w:line="240" w:lineRule="auto"/>
              <w:jc w:val="both"/>
              <w:rPr>
                <w:rFonts w:asciiTheme="minorHAnsi" w:eastAsia="Times New Roman" w:hAnsiTheme="minorHAnsi"/>
                <w:lang w:eastAsia="pl-PL"/>
              </w:rPr>
            </w:pPr>
            <w:r>
              <w:t xml:space="preserve">Poprzez </w:t>
            </w:r>
            <w:r w:rsidRPr="00A714F6">
              <w:rPr>
                <w:b/>
                <w:u w:val="single"/>
              </w:rPr>
              <w:t>drogi rowerowe</w:t>
            </w:r>
            <w:r>
              <w:t xml:space="preserve"> należy również rozumieć drogi dla pieszych i rowerów (ciągi pieszo-rowerowe), tj. drogi lub ich część przeznaczone do ruchu pieszych i rowerów, oznaczone odpowiednimi znakami drogowymi</w:t>
            </w:r>
            <w:r w:rsidR="00D0522C">
              <w:t>.</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przebudowanych dróg dla rowerów</w:t>
            </w:r>
          </w:p>
        </w:tc>
        <w:tc>
          <w:tcPr>
            <w:tcW w:w="1519" w:type="dxa"/>
            <w:shd w:val="clear" w:color="auto" w:fill="FFFFFF"/>
            <w:vAlign w:val="center"/>
          </w:tcPr>
          <w:p w:rsidR="000E32B0" w:rsidRPr="000E32B0" w:rsidRDefault="00A714F6" w:rsidP="000E32B0">
            <w:pPr>
              <w:spacing w:after="0" w:line="240" w:lineRule="auto"/>
              <w:jc w:val="center"/>
              <w:rPr>
                <w:rFonts w:asciiTheme="minorHAnsi" w:hAnsiTheme="minorHAnsi" w:cs="Arial"/>
              </w:rPr>
            </w:pPr>
            <w:r>
              <w:t>km</w:t>
            </w:r>
          </w:p>
        </w:tc>
        <w:tc>
          <w:tcPr>
            <w:tcW w:w="4551" w:type="dxa"/>
            <w:shd w:val="clear" w:color="auto" w:fill="FFFFFF"/>
            <w:vAlign w:val="center"/>
          </w:tcPr>
          <w:p w:rsidR="000E32B0" w:rsidRPr="00A714F6" w:rsidRDefault="00A714F6" w:rsidP="00A714F6">
            <w:pPr>
              <w:spacing w:after="0" w:line="240" w:lineRule="auto"/>
              <w:jc w:val="both"/>
              <w:rPr>
                <w:rFonts w:asciiTheme="minorHAnsi" w:hAnsiTheme="minorHAnsi" w:cs="Arial"/>
              </w:rPr>
            </w:pPr>
            <w:r>
              <w:t>Długość przebudowanego odcinka drogi przeznaczonej do ruchu rowerów, tj. oddzielonej od innych dróg lub jezdni tej samej drogi konstrukcyjnie lub za pomocą urządzeń bezpieczeństwa ruchu drogowego oraz oznaczonej odpowiednimi znakami drogowymi.</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Długość wyznaczonych ścieżek rowerowych</w:t>
            </w:r>
          </w:p>
        </w:tc>
        <w:tc>
          <w:tcPr>
            <w:tcW w:w="1519" w:type="dxa"/>
            <w:shd w:val="clear" w:color="auto" w:fill="FFFFFF"/>
            <w:vAlign w:val="center"/>
          </w:tcPr>
          <w:p w:rsidR="000E32B0" w:rsidRPr="000E32B0" w:rsidRDefault="00A714F6" w:rsidP="000E32B0">
            <w:pPr>
              <w:spacing w:after="0" w:line="240" w:lineRule="auto"/>
              <w:jc w:val="center"/>
              <w:rPr>
                <w:rFonts w:asciiTheme="minorHAnsi" w:hAnsiTheme="minorHAnsi" w:cs="Arial"/>
              </w:rPr>
            </w:pPr>
            <w:r>
              <w:t>km</w:t>
            </w:r>
          </w:p>
        </w:tc>
        <w:tc>
          <w:tcPr>
            <w:tcW w:w="4551" w:type="dxa"/>
            <w:shd w:val="clear" w:color="auto" w:fill="FFFFFF"/>
            <w:vAlign w:val="center"/>
          </w:tcPr>
          <w:p w:rsidR="000E32B0" w:rsidRPr="00A714F6" w:rsidRDefault="00A714F6" w:rsidP="00A714F6">
            <w:pPr>
              <w:spacing w:after="0" w:line="240" w:lineRule="auto"/>
              <w:jc w:val="both"/>
              <w:rPr>
                <w:rFonts w:asciiTheme="minorHAnsi" w:hAnsiTheme="minorHAnsi" w:cs="Arial"/>
              </w:rPr>
            </w:pPr>
            <w:r>
              <w:t>Długość wyznaczonego odcinka drogi przeznaczonej do ruchu rowerów, tj. oddzielonej od innych dróg lub jezdni tej samej drogi konstrukcyjnie lub za pomocą urządzeń bezpieczeństwa ruchu drogowego oraz oznaczonej odpowiednimi znakami drogowymi.</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Liczba wybudowanych obiektów „</w:t>
            </w:r>
            <w:proofErr w:type="spellStart"/>
            <w:r w:rsidRPr="00A714F6">
              <w:rPr>
                <w:rFonts w:asciiTheme="minorHAnsi" w:hAnsiTheme="minorHAnsi"/>
                <w:color w:val="auto"/>
              </w:rPr>
              <w:t>Bike&amp;Ride</w:t>
            </w:r>
            <w:proofErr w:type="spellEnd"/>
            <w:r w:rsidRPr="00A714F6">
              <w:rPr>
                <w:rFonts w:asciiTheme="minorHAnsi" w:hAnsiTheme="minorHAnsi"/>
                <w:color w:val="auto"/>
              </w:rPr>
              <w:t>”</w:t>
            </w:r>
          </w:p>
        </w:tc>
        <w:tc>
          <w:tcPr>
            <w:tcW w:w="1519" w:type="dxa"/>
            <w:shd w:val="clear" w:color="auto" w:fill="FFFFFF"/>
            <w:vAlign w:val="center"/>
          </w:tcPr>
          <w:p w:rsidR="000E32B0" w:rsidRPr="000E32B0" w:rsidRDefault="00A714F6" w:rsidP="000E32B0">
            <w:pPr>
              <w:spacing w:after="0" w:line="240" w:lineRule="auto"/>
              <w:jc w:val="center"/>
              <w:rPr>
                <w:rFonts w:asciiTheme="minorHAnsi" w:hAnsiTheme="minorHAnsi" w:cs="Arial"/>
              </w:rPr>
            </w:pPr>
            <w:r>
              <w:t>szt.</w:t>
            </w:r>
          </w:p>
        </w:tc>
        <w:tc>
          <w:tcPr>
            <w:tcW w:w="4551" w:type="dxa"/>
            <w:shd w:val="clear" w:color="auto" w:fill="FFFFFF"/>
            <w:vAlign w:val="center"/>
          </w:tcPr>
          <w:p w:rsidR="00A714F6" w:rsidRDefault="00A714F6" w:rsidP="00A714F6">
            <w:pPr>
              <w:spacing w:after="120" w:line="240" w:lineRule="auto"/>
              <w:jc w:val="both"/>
            </w:pPr>
            <w:r>
              <w:t>Liczba wybudowanych parkingów przeznaczonych do czasowego pozostawiania rowerów, w celu umożliwienia zmiany środka transportu na transport zbiorowego.</w:t>
            </w:r>
          </w:p>
          <w:p w:rsidR="000E32B0" w:rsidRPr="00A714F6" w:rsidRDefault="00A714F6" w:rsidP="00A714F6">
            <w:pPr>
              <w:spacing w:after="0" w:line="240" w:lineRule="auto"/>
              <w:jc w:val="both"/>
              <w:rPr>
                <w:rFonts w:asciiTheme="minorHAnsi" w:hAnsiTheme="minorHAnsi" w:cs="Arial"/>
              </w:rPr>
            </w:pPr>
            <w:r w:rsidRPr="00A714F6">
              <w:rPr>
                <w:b/>
                <w:u w:val="single"/>
              </w:rPr>
              <w:t xml:space="preserve">Obiekt </w:t>
            </w:r>
            <w:proofErr w:type="spellStart"/>
            <w:r w:rsidRPr="00A714F6">
              <w:rPr>
                <w:b/>
                <w:u w:val="single"/>
              </w:rPr>
              <w:t>Bike&amp;Ride</w:t>
            </w:r>
            <w:proofErr w:type="spellEnd"/>
            <w:r>
              <w:t xml:space="preserve"> – parking przeznaczony do czasowego pozostawiania rowerów, w celu umożliwienia zmiany środka transportu na transport zbiorowy</w:t>
            </w:r>
            <w:r w:rsidR="00D0522C">
              <w:t>.</w:t>
            </w:r>
          </w:p>
        </w:tc>
      </w:tr>
      <w:tr w:rsidR="000E32B0" w:rsidRPr="000E32B0" w:rsidTr="00CB600C">
        <w:trPr>
          <w:trHeight w:val="575"/>
        </w:trPr>
        <w:tc>
          <w:tcPr>
            <w:tcW w:w="0" w:type="auto"/>
            <w:shd w:val="clear" w:color="auto" w:fill="FFFFFF"/>
            <w:vAlign w:val="center"/>
          </w:tcPr>
          <w:p w:rsidR="000E32B0" w:rsidRPr="000E32B0" w:rsidRDefault="00CB02FA" w:rsidP="00FD1DC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rsidR="000E32B0" w:rsidRPr="00A714F6" w:rsidRDefault="00A714F6" w:rsidP="00A714F6">
            <w:pPr>
              <w:pStyle w:val="Nagwek3"/>
              <w:spacing w:before="120" w:after="120" w:line="240" w:lineRule="auto"/>
              <w:jc w:val="center"/>
              <w:rPr>
                <w:rFonts w:asciiTheme="minorHAnsi" w:eastAsia="Times New Roman" w:hAnsiTheme="minorHAnsi"/>
                <w:b w:val="0"/>
                <w:color w:val="auto"/>
                <w:lang w:eastAsia="pl-PL"/>
              </w:rPr>
            </w:pPr>
            <w:r w:rsidRPr="00A714F6">
              <w:rPr>
                <w:rFonts w:asciiTheme="minorHAnsi" w:hAnsiTheme="minorHAnsi"/>
                <w:color w:val="auto"/>
              </w:rPr>
              <w:t>Liczba stanowisk postojowych w wybudowanych obiektach „</w:t>
            </w:r>
            <w:proofErr w:type="spellStart"/>
            <w:r w:rsidRPr="00A714F6">
              <w:rPr>
                <w:rFonts w:asciiTheme="minorHAnsi" w:hAnsiTheme="minorHAnsi"/>
                <w:color w:val="auto"/>
              </w:rPr>
              <w:t>Bike&amp;Ride</w:t>
            </w:r>
            <w:proofErr w:type="spellEnd"/>
            <w:r w:rsidRPr="00A714F6">
              <w:rPr>
                <w:rFonts w:asciiTheme="minorHAnsi" w:hAnsiTheme="minorHAnsi"/>
                <w:color w:val="auto"/>
              </w:rPr>
              <w:t>”</w:t>
            </w:r>
          </w:p>
        </w:tc>
        <w:tc>
          <w:tcPr>
            <w:tcW w:w="1519" w:type="dxa"/>
            <w:shd w:val="clear" w:color="auto" w:fill="FFFFFF"/>
            <w:vAlign w:val="center"/>
          </w:tcPr>
          <w:p w:rsidR="000E32B0" w:rsidRPr="000E32B0" w:rsidRDefault="00A714F6" w:rsidP="000E32B0">
            <w:pPr>
              <w:spacing w:after="0" w:line="240" w:lineRule="auto"/>
              <w:jc w:val="center"/>
              <w:rPr>
                <w:rFonts w:asciiTheme="minorHAnsi" w:hAnsiTheme="minorHAnsi" w:cs="Arial"/>
              </w:rPr>
            </w:pPr>
            <w:r>
              <w:t>szt.</w:t>
            </w:r>
          </w:p>
        </w:tc>
        <w:tc>
          <w:tcPr>
            <w:tcW w:w="4551" w:type="dxa"/>
            <w:shd w:val="clear" w:color="auto" w:fill="FFFFFF"/>
            <w:vAlign w:val="center"/>
          </w:tcPr>
          <w:p w:rsidR="000E32B0" w:rsidRPr="00A714F6" w:rsidRDefault="00A714F6" w:rsidP="00A714F6">
            <w:pPr>
              <w:spacing w:after="0" w:line="240" w:lineRule="auto"/>
              <w:jc w:val="both"/>
              <w:rPr>
                <w:rFonts w:asciiTheme="minorHAnsi" w:hAnsiTheme="minorHAnsi" w:cs="Arial"/>
              </w:rPr>
            </w:pPr>
            <w:r>
              <w:t>Liczba stanowisk przeznaczonych do umocowania ramy roweru, znajdujących się na terenie parkingu przeznaczonego do pozostawiania rowerów</w:t>
            </w:r>
            <w:r w:rsidR="00D0522C">
              <w:t>.</w:t>
            </w:r>
          </w:p>
        </w:tc>
      </w:tr>
      <w:tr w:rsidR="00BA31B8" w:rsidRPr="000E32B0" w:rsidTr="00BA31B8">
        <w:trPr>
          <w:trHeight w:val="575"/>
        </w:trPr>
        <w:tc>
          <w:tcPr>
            <w:tcW w:w="9214" w:type="dxa"/>
            <w:gridSpan w:val="4"/>
            <w:shd w:val="clear" w:color="auto" w:fill="F2F2F2" w:themeFill="background1" w:themeFillShade="F2"/>
            <w:vAlign w:val="center"/>
          </w:tcPr>
          <w:p w:rsidR="00BA31B8" w:rsidRPr="000E32B0" w:rsidRDefault="00BA31B8" w:rsidP="00BA31B8">
            <w:pPr>
              <w:spacing w:after="0" w:line="240" w:lineRule="auto"/>
              <w:jc w:val="center"/>
              <w:rPr>
                <w:rFonts w:asciiTheme="minorHAnsi" w:hAnsiTheme="minorHAnsi" w:cs="Arial"/>
              </w:rPr>
            </w:pPr>
            <w:r>
              <w:rPr>
                <w:rFonts w:asciiTheme="minorHAnsi" w:hAnsiTheme="minorHAnsi" w:cs="Arial"/>
                <w:b/>
              </w:rPr>
              <w:t>Horyzontalny wskaźnik produktu</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1</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obiektów dostosowanych do potrzeb osób z niepełnosprawnościami</w:t>
            </w:r>
          </w:p>
        </w:tc>
        <w:tc>
          <w:tcPr>
            <w:tcW w:w="1519" w:type="dxa"/>
            <w:shd w:val="clear" w:color="auto" w:fill="FFFFFF"/>
            <w:vAlign w:val="center"/>
          </w:tcPr>
          <w:p w:rsidR="00BA31B8" w:rsidRDefault="004F04EB" w:rsidP="000E32B0">
            <w:pPr>
              <w:spacing w:after="0" w:line="240" w:lineRule="auto"/>
              <w:jc w:val="center"/>
            </w:pPr>
            <w:r>
              <w:t>szt.</w:t>
            </w:r>
          </w:p>
          <w:p w:rsidR="003E0221" w:rsidRPr="003E0221" w:rsidRDefault="003E0221" w:rsidP="003E0221">
            <w:pPr>
              <w:rPr>
                <w:rFonts w:asciiTheme="minorHAnsi" w:hAnsiTheme="minorHAnsi" w:cs="Arial"/>
              </w:rPr>
            </w:pPr>
          </w:p>
          <w:p w:rsidR="003E0221" w:rsidRPr="003E0221" w:rsidRDefault="003E0221" w:rsidP="003E0221">
            <w:pPr>
              <w:rPr>
                <w:rFonts w:asciiTheme="minorHAnsi" w:hAnsiTheme="minorHAnsi" w:cs="Arial"/>
              </w:rPr>
            </w:pPr>
          </w:p>
          <w:p w:rsidR="003E0221" w:rsidRPr="003E0221" w:rsidRDefault="003E0221" w:rsidP="003E0221">
            <w:pPr>
              <w:rPr>
                <w:rFonts w:asciiTheme="minorHAnsi" w:hAnsiTheme="minorHAnsi" w:cs="Arial"/>
              </w:rPr>
            </w:pPr>
          </w:p>
        </w:tc>
        <w:tc>
          <w:tcPr>
            <w:tcW w:w="4551" w:type="dxa"/>
            <w:shd w:val="clear" w:color="auto" w:fill="FFFFFF"/>
            <w:vAlign w:val="center"/>
          </w:tcPr>
          <w:p w:rsidR="004F04EB" w:rsidRDefault="004F04EB" w:rsidP="004F04EB">
            <w:pPr>
              <w:spacing w:after="120" w:line="240" w:lineRule="auto"/>
              <w:jc w:val="both"/>
            </w:pPr>
            <w:r>
              <w:t xml:space="preserve">Wskaźnik odnosi się do liczby obiektów, które zaopatrzono w specjalne podjazdy, windy, urządzenia głośnomówiące, bądź inne rozwiązania umożliwiające dostęp (tj. usunięcie barier w dostępie, w szczególności barier architektonicznych) do tych obiektów </w:t>
            </w:r>
            <w:r>
              <w:br/>
              <w:t xml:space="preserve">i poruszanie się po nich osobom </w:t>
            </w:r>
            <w:r>
              <w:br/>
              <w:t xml:space="preserve">z niepełnosprawnościami ruchowymi czy sensorycznymi. Jako obiekty budowlane należy rozumieć konstrukcje połączone z gruntem </w:t>
            </w:r>
            <w:r>
              <w:br/>
            </w:r>
            <w:r>
              <w:lastRenderedPageBreak/>
              <w:t>w sposób trwały, wykonane z materiałów budowlanych i elementów składowych, będące wynikiem prac budowlanych.</w:t>
            </w:r>
          </w:p>
          <w:p w:rsidR="00BA31B8" w:rsidRPr="000E32B0" w:rsidRDefault="004F04EB" w:rsidP="00FD1DCA">
            <w:pPr>
              <w:spacing w:after="0" w:line="240" w:lineRule="auto"/>
              <w:jc w:val="both"/>
              <w:rPr>
                <w:rFonts w:asciiTheme="minorHAnsi" w:hAnsiTheme="minorHAnsi" w:cs="Arial"/>
              </w:rPr>
            </w:pPr>
            <w:r>
              <w:t xml:space="preserve">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w:t>
            </w:r>
            <w:r>
              <w:br/>
              <w:t xml:space="preserve">z niepełnosprawnościami. Wskaźnik mierzony </w:t>
            </w:r>
            <w:r>
              <w:br/>
              <w:t xml:space="preserve">w momencie rozliczenia wydatku związanego </w:t>
            </w:r>
            <w:r>
              <w:br/>
              <w:t xml:space="preserve">z dostosowaniem obiektów do potrzeb osób </w:t>
            </w:r>
            <w:r>
              <w:br/>
              <w:t>z niepełnosprawnościami w ramach danego projektu</w:t>
            </w:r>
            <w:r w:rsidR="00295B91">
              <w:rPr>
                <w:rStyle w:val="Odwoanieprzypisudolnego"/>
              </w:rPr>
              <w:footnoteReference w:id="1"/>
            </w:r>
            <w:r>
              <w:t>.</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2</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osób objętych szkoleniami / doradztwem w zakresie kompetencji cyfrowych</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osoby</w:t>
            </w:r>
          </w:p>
        </w:tc>
        <w:tc>
          <w:tcPr>
            <w:tcW w:w="4551" w:type="dxa"/>
            <w:shd w:val="clear" w:color="auto" w:fill="FFFFFF"/>
            <w:vAlign w:val="center"/>
          </w:tcPr>
          <w:p w:rsidR="004F04EB" w:rsidRDefault="004F04EB" w:rsidP="004F04EB">
            <w:pPr>
              <w:spacing w:after="120" w:line="240" w:lineRule="auto"/>
              <w:jc w:val="both"/>
            </w:pPr>
            <w:r>
              <w:t xml:space="preserve">Wskaźnik mierzy liczbę osób objętych szkoleniami/doradztwem w zakresie nabywania/doskonalenia umiejętności warunkujących efektywne korzystanie z mediów elektronicznych, tj. m.in. korzystania </w:t>
            </w:r>
            <w:r w:rsidR="006C6526">
              <w:br/>
            </w:r>
            <w:r>
              <w:t xml:space="preserve">z komputera, różnych rodzajów oprogramowania, </w:t>
            </w:r>
            <w:proofErr w:type="spellStart"/>
            <w:r>
              <w:t>internetu</w:t>
            </w:r>
            <w:proofErr w:type="spellEnd"/>
            <w:r>
              <w:t xml:space="preserve"> oraz kompetencji ściśle informatycznych (np. programowanie, zarządzanie bazami danych, administracja sieciami, administracja witrynami internetowymi).</w:t>
            </w:r>
          </w:p>
          <w:p w:rsidR="00BA31B8" w:rsidRPr="000E32B0" w:rsidRDefault="004F04EB" w:rsidP="00FD1DCA">
            <w:pPr>
              <w:spacing w:after="0" w:line="240" w:lineRule="auto"/>
              <w:jc w:val="both"/>
              <w:rPr>
                <w:rFonts w:asciiTheme="minorHAnsi" w:hAnsiTheme="minorHAnsi" w:cs="Arial"/>
              </w:rPr>
            </w:pPr>
            <w:r>
              <w:t>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 xml:space="preserve">Liczba projektów, </w:t>
            </w:r>
            <w:r w:rsidR="00792457" w:rsidRPr="00A139A2">
              <w:rPr>
                <w:rFonts w:asciiTheme="minorHAnsi" w:hAnsiTheme="minorHAnsi"/>
                <w:color w:val="auto"/>
              </w:rPr>
              <w:br/>
            </w:r>
            <w:r w:rsidRPr="00A139A2">
              <w:rPr>
                <w:rFonts w:asciiTheme="minorHAnsi" w:hAnsiTheme="minorHAnsi"/>
                <w:color w:val="auto"/>
              </w:rPr>
              <w:t xml:space="preserve">w których sfinansowano koszty racjonalnych usprawnień dla osób z </w:t>
            </w:r>
            <w:r w:rsidRPr="00A139A2">
              <w:rPr>
                <w:rFonts w:asciiTheme="minorHAnsi" w:hAnsiTheme="minorHAnsi"/>
                <w:color w:val="auto"/>
              </w:rPr>
              <w:lastRenderedPageBreak/>
              <w:t>niepełnosprawnościami</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lastRenderedPageBreak/>
              <w:t>szt.</w:t>
            </w:r>
          </w:p>
        </w:tc>
        <w:tc>
          <w:tcPr>
            <w:tcW w:w="4551" w:type="dxa"/>
            <w:shd w:val="clear" w:color="auto" w:fill="FFFFFF"/>
            <w:vAlign w:val="center"/>
          </w:tcPr>
          <w:p w:rsidR="004F04EB" w:rsidRDefault="004F04EB" w:rsidP="004F04EB">
            <w:pPr>
              <w:spacing w:after="120" w:line="240" w:lineRule="auto"/>
              <w:jc w:val="both"/>
            </w:pPr>
            <w:r>
              <w:t xml:space="preserve">Racjonalne usprawnienie oznacza konieczne </w:t>
            </w:r>
            <w:r w:rsidR="00CB600C">
              <w:br/>
            </w:r>
            <w:r>
              <w:t xml:space="preserve">i odpowiednie zmiany oraz dostosowania, nie nakładające nieproporcjonalnego lub nadmiernego obciążenia, rozpatrywane osobno </w:t>
            </w:r>
            <w:r>
              <w:lastRenderedPageBreak/>
              <w:t xml:space="preserve">dla każdego konkretnego przypadku, </w:t>
            </w:r>
            <w:r w:rsidR="00CB600C">
              <w:br/>
            </w:r>
            <w:r>
              <w:t xml:space="preserve">w celu zapewnienia osobom </w:t>
            </w:r>
            <w:r w:rsidR="00CB600C">
              <w:br/>
            </w:r>
            <w:r>
              <w:t xml:space="preserve">z niepełnosprawnościami możliwości korzystania z wszelkich praw człowieka </w:t>
            </w:r>
            <w:r w:rsidR="00CB600C">
              <w:br/>
            </w:r>
            <w:r>
              <w:t>i podstawowych wolności oraz ich wykonywania na zasadzie równości z innymi osobami.</w:t>
            </w:r>
          </w:p>
          <w:p w:rsidR="00BA31B8" w:rsidRPr="000E32B0" w:rsidRDefault="004F04EB" w:rsidP="00FD1DCA">
            <w:pPr>
              <w:spacing w:after="0" w:line="240" w:lineRule="auto"/>
              <w:jc w:val="both"/>
              <w:rPr>
                <w:rFonts w:asciiTheme="minorHAnsi" w:hAnsiTheme="minorHAnsi" w:cs="Arial"/>
              </w:rPr>
            </w:pPr>
            <w:r>
              <w:t>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BA31B8" w:rsidRPr="000E32B0" w:rsidTr="00CB600C">
        <w:trPr>
          <w:trHeight w:val="575"/>
        </w:trPr>
        <w:tc>
          <w:tcPr>
            <w:tcW w:w="0" w:type="auto"/>
            <w:shd w:val="clear" w:color="auto" w:fill="FFFFFF"/>
            <w:vAlign w:val="center"/>
          </w:tcPr>
          <w:p w:rsidR="00BA31B8" w:rsidRDefault="00CB600C" w:rsidP="00FD1DCA">
            <w:pPr>
              <w:spacing w:after="0" w:line="240" w:lineRule="auto"/>
              <w:jc w:val="center"/>
              <w:rPr>
                <w:rFonts w:asciiTheme="minorHAnsi" w:hAnsiTheme="minorHAnsi"/>
              </w:rPr>
            </w:pPr>
            <w:r>
              <w:rPr>
                <w:rFonts w:asciiTheme="minorHAnsi" w:hAnsiTheme="minorHAnsi"/>
              </w:rPr>
              <w:lastRenderedPageBreak/>
              <w:t>4</w:t>
            </w:r>
          </w:p>
        </w:tc>
        <w:tc>
          <w:tcPr>
            <w:tcW w:w="0" w:type="auto"/>
            <w:shd w:val="clear" w:color="auto" w:fill="FFFFFF"/>
            <w:vAlign w:val="center"/>
          </w:tcPr>
          <w:p w:rsidR="00BA31B8" w:rsidRPr="00A139A2" w:rsidRDefault="004F04EB" w:rsidP="00CB600C">
            <w:pPr>
              <w:pStyle w:val="Nagwek3"/>
              <w:spacing w:before="120" w:after="120" w:line="240" w:lineRule="auto"/>
              <w:jc w:val="center"/>
              <w:rPr>
                <w:rFonts w:asciiTheme="minorHAnsi" w:eastAsia="Times New Roman" w:hAnsiTheme="minorHAnsi"/>
                <w:b w:val="0"/>
                <w:color w:val="auto"/>
                <w:lang w:eastAsia="pl-PL"/>
              </w:rPr>
            </w:pPr>
            <w:r w:rsidRPr="00A139A2">
              <w:rPr>
                <w:rFonts w:asciiTheme="minorHAnsi" w:hAnsiTheme="minorHAnsi"/>
                <w:color w:val="auto"/>
              </w:rPr>
              <w:t>Liczba podmiotów wykorzystujących technologie informacyjno-komunikacyjne</w:t>
            </w:r>
          </w:p>
        </w:tc>
        <w:tc>
          <w:tcPr>
            <w:tcW w:w="1519" w:type="dxa"/>
            <w:shd w:val="clear" w:color="auto" w:fill="FFFFFF"/>
            <w:vAlign w:val="center"/>
          </w:tcPr>
          <w:p w:rsidR="00BA31B8" w:rsidRPr="000E32B0" w:rsidRDefault="004F04EB" w:rsidP="000E32B0">
            <w:pPr>
              <w:spacing w:after="0" w:line="240" w:lineRule="auto"/>
              <w:jc w:val="center"/>
              <w:rPr>
                <w:rFonts w:asciiTheme="minorHAnsi" w:hAnsiTheme="minorHAnsi" w:cs="Arial"/>
              </w:rPr>
            </w:pPr>
            <w:r>
              <w:t>szt.</w:t>
            </w:r>
          </w:p>
        </w:tc>
        <w:tc>
          <w:tcPr>
            <w:tcW w:w="4551" w:type="dxa"/>
            <w:shd w:val="clear" w:color="auto" w:fill="FFFFFF"/>
            <w:vAlign w:val="center"/>
          </w:tcPr>
          <w:p w:rsidR="00BB1ED4" w:rsidRDefault="004F04EB" w:rsidP="00BB1ED4">
            <w:pPr>
              <w:spacing w:after="120" w:line="240" w:lineRule="auto"/>
              <w:jc w:val="both"/>
            </w:pPr>
            <w:r>
              <w:t xml:space="preserve">Wskaźnik mierzy liczbę podmiotów, które </w:t>
            </w:r>
            <w:r w:rsidR="00CB600C">
              <w:br/>
            </w:r>
            <w:r>
              <w:t xml:space="preserve">w celu realizacji projektu, zainwestowały </w:t>
            </w:r>
            <w:r w:rsidR="00CB600C">
              <w:br/>
            </w:r>
            <w:r>
              <w:t>w technologie informacyjno-komunikacyjne</w:t>
            </w:r>
            <w:r w:rsidR="00D0522C">
              <w:t xml:space="preserve"> (TIK)</w:t>
            </w:r>
            <w:r>
              <w:t>, a w przypadku projektów edukacyjno</w:t>
            </w:r>
            <w:r w:rsidR="00CB600C">
              <w:t>-</w:t>
            </w:r>
            <w:r>
              <w:t xml:space="preserve">szkoleniowych, również podmiotów, które podjęły działania upowszechniające wykorzystanie TIK. </w:t>
            </w:r>
          </w:p>
          <w:p w:rsidR="00BB1ED4" w:rsidRDefault="004F04EB" w:rsidP="00BB1ED4">
            <w:pPr>
              <w:spacing w:after="120" w:line="240" w:lineRule="auto"/>
              <w:jc w:val="both"/>
            </w:pPr>
            <w:r>
              <w:t>Przez technologie informacyjno-komunikacyjne (ang. ICT Information and Communications</w:t>
            </w:r>
            <w:r w:rsidR="002B2C0C">
              <w:t xml:space="preserve"> </w:t>
            </w:r>
            <w:r>
              <w:t>Technology) należy rozumieć technologie pozyskiwania/produkcji,</w:t>
            </w:r>
            <w:r w:rsidR="002B2C0C">
              <w:t xml:space="preserve"> </w:t>
            </w:r>
            <w:r>
              <w:t xml:space="preserve">gromadzenia/przechowywania, przesyłania, przetwarzania i rozpowszechniania informacji </w:t>
            </w:r>
            <w:r w:rsidR="00CB600C">
              <w:br/>
            </w:r>
            <w:r>
              <w:t xml:space="preserve">w formie elektronicznej z wykorzystaniem technik cyfrowych i wszelkich narzędzi komunikacji elektronicznej oraz wszelkie działania związane z produkcją </w:t>
            </w:r>
            <w:r w:rsidR="00CB600C">
              <w:br/>
            </w:r>
            <w:r w:rsidR="00964E77">
              <w:t xml:space="preserve">i wykorzystaniem </w:t>
            </w:r>
            <w:r w:rsidR="0063344E">
              <w:t>urządzeń</w:t>
            </w:r>
            <w:r w:rsidR="002B2C0C">
              <w:t xml:space="preserve"> </w:t>
            </w:r>
            <w:r>
              <w:t xml:space="preserve">telekomunikacyjnych i informatycznych oraz usług im towarzyszących; działania edukacyjne </w:t>
            </w:r>
            <w:r w:rsidR="00CB600C">
              <w:br/>
            </w:r>
            <w:r>
              <w:t>i szkoleniowe. W przypadku gdy beneficjentem pozostaje jeden podmiot, we wsk</w:t>
            </w:r>
            <w:r w:rsidR="00BB1ED4">
              <w:t>aźniku należy ująć wartość „1”.</w:t>
            </w:r>
          </w:p>
          <w:p w:rsidR="00BA31B8" w:rsidRPr="000E32B0" w:rsidRDefault="004F04EB" w:rsidP="00FD1DCA">
            <w:pPr>
              <w:spacing w:after="0" w:line="240" w:lineRule="auto"/>
              <w:jc w:val="both"/>
              <w:rPr>
                <w:rFonts w:asciiTheme="minorHAnsi" w:hAnsiTheme="minorHAnsi" w:cs="Arial"/>
              </w:rPr>
            </w:pPr>
            <w:r>
              <w:t xml:space="preserve">W przypadku gdy projekt jest realizowany przez partnerstwo podmiotów, w wartości wskaźnika należy ująć każdy z podmiotów wchodzących </w:t>
            </w:r>
            <w:r w:rsidR="00CB600C">
              <w:br/>
            </w:r>
            <w:r>
              <w:t>w skład partnerstwa, który wdrożył w swojej działalności narzędzia TIK.</w:t>
            </w:r>
          </w:p>
        </w:tc>
      </w:tr>
    </w:tbl>
    <w:p w:rsidR="00855C79" w:rsidRDefault="00855C79"/>
    <w:sectPr w:rsidR="00855C79" w:rsidSect="003E0221">
      <w:headerReference w:type="even" r:id="rId8"/>
      <w:headerReference w:type="default" r:id="rId9"/>
      <w:footerReference w:type="even" r:id="rId10"/>
      <w:footerReference w:type="default" r:id="rId11"/>
      <w:headerReference w:type="first" r:id="rId12"/>
      <w:footerReference w:type="first" r:id="rId13"/>
      <w:pgSz w:w="11906" w:h="16838"/>
      <w:pgMar w:top="1417" w:right="2692"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B3A" w:rsidRDefault="00690B3A" w:rsidP="00EC621B">
      <w:pPr>
        <w:spacing w:after="0" w:line="240" w:lineRule="auto"/>
      </w:pPr>
      <w:r>
        <w:separator/>
      </w:r>
    </w:p>
  </w:endnote>
  <w:endnote w:type="continuationSeparator" w:id="0">
    <w:p w:rsidR="00690B3A" w:rsidRDefault="00690B3A" w:rsidP="00EC62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Segoe UI">
    <w:panose1 w:val="020B0502040204020203"/>
    <w:charset w:val="EE"/>
    <w:family w:val="swiss"/>
    <w:pitch w:val="variable"/>
    <w:sig w:usb0="E00022FF" w:usb1="C000205B" w:usb2="00000009" w:usb3="00000000" w:csb0="000001DF" w:csb1="00000000"/>
  </w:font>
  <w:font w:name="Garamond,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6F0" w:rsidRDefault="00C926F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21315"/>
      <w:docPartObj>
        <w:docPartGallery w:val="Page Numbers (Bottom of Page)"/>
        <w:docPartUnique/>
      </w:docPartObj>
    </w:sdtPr>
    <w:sdtContent>
      <w:p w:rsidR="00C2408C" w:rsidRDefault="001A76AA">
        <w:pPr>
          <w:pStyle w:val="Stopka"/>
          <w:jc w:val="center"/>
        </w:pPr>
        <w:r>
          <w:fldChar w:fldCharType="begin"/>
        </w:r>
        <w:r w:rsidR="00247A3F">
          <w:instrText xml:space="preserve"> PAGE   \* MERGEFORMAT </w:instrText>
        </w:r>
        <w:r>
          <w:fldChar w:fldCharType="separate"/>
        </w:r>
        <w:r w:rsidR="00C926F0">
          <w:rPr>
            <w:noProof/>
          </w:rPr>
          <w:t>4</w:t>
        </w:r>
        <w:r>
          <w:rPr>
            <w:noProof/>
          </w:rPr>
          <w:fldChar w:fldCharType="end"/>
        </w:r>
      </w:p>
    </w:sdtContent>
  </w:sdt>
  <w:p w:rsidR="00C2408C" w:rsidRDefault="00C2408C">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6F0" w:rsidRDefault="00C926F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B3A" w:rsidRDefault="00690B3A" w:rsidP="00EC621B">
      <w:pPr>
        <w:spacing w:after="0" w:line="240" w:lineRule="auto"/>
      </w:pPr>
      <w:r>
        <w:separator/>
      </w:r>
    </w:p>
  </w:footnote>
  <w:footnote w:type="continuationSeparator" w:id="0">
    <w:p w:rsidR="00690B3A" w:rsidRDefault="00690B3A" w:rsidP="00EC621B">
      <w:pPr>
        <w:spacing w:after="0" w:line="240" w:lineRule="auto"/>
      </w:pPr>
      <w:r>
        <w:continuationSeparator/>
      </w:r>
    </w:p>
  </w:footnote>
  <w:footnote w:id="1">
    <w:p w:rsidR="00295B91" w:rsidRDefault="00295B91" w:rsidP="00295B91">
      <w:pPr>
        <w:pStyle w:val="Tekstprzypisudolnego"/>
        <w:ind w:right="-1559"/>
        <w:jc w:val="both"/>
      </w:pPr>
      <w:r>
        <w:rPr>
          <w:rStyle w:val="Odwoanieprzypisudolnego"/>
        </w:rPr>
        <w:footnoteRef/>
      </w:r>
      <w:r>
        <w:t xml:space="preserve"> </w:t>
      </w:r>
      <w:r>
        <w:rPr>
          <w:bCs/>
          <w:sz w:val="16"/>
          <w:szCs w:val="16"/>
        </w:rPr>
        <w:t>Wnioskodawca jest zobowiązany do wybrania tego wskaźnika oraz wskazania jego wartości docelowej jeżeli projekt ma pozytywny wpływ na zasadę równości szans i niedyskryminacji.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6F0" w:rsidRDefault="00C926F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C99" w:rsidRPr="003E0221" w:rsidRDefault="00B46C99" w:rsidP="003E0221">
    <w:pPr>
      <w:spacing w:after="0"/>
      <w:rPr>
        <w:b/>
      </w:rPr>
    </w:pPr>
    <w:r>
      <w:t xml:space="preserve">                                                                                   </w:t>
    </w:r>
  </w:p>
  <w:p w:rsidR="00E06338" w:rsidRDefault="00E06338" w:rsidP="00B46C99">
    <w:pPr>
      <w:pStyle w:val="Nagwek"/>
    </w:pPr>
    <w:r>
      <w:tab/>
    </w:r>
    <w:r>
      <w:tab/>
      <w:t xml:space="preserve"> </w:t>
    </w:r>
  </w:p>
  <w:p w:rsidR="00EE6C97" w:rsidRDefault="00EE6C97">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221" w:rsidRPr="00C926F0" w:rsidRDefault="003E0221" w:rsidP="003E0221">
    <w:pPr>
      <w:spacing w:after="0"/>
      <w:ind w:left="3540" w:firstLine="708"/>
      <w:rPr>
        <w:b/>
      </w:rPr>
    </w:pPr>
    <w:r w:rsidRPr="00C926F0">
      <w:rPr>
        <w:b/>
      </w:rPr>
      <w:t>Załącznik nr 2 do Uchwały nr 16/2019</w:t>
    </w:r>
  </w:p>
  <w:p w:rsidR="003E0221" w:rsidRPr="00C926F0" w:rsidRDefault="003E0221" w:rsidP="003E0221">
    <w:pPr>
      <w:spacing w:after="0"/>
      <w:ind w:left="3540" w:firstLine="708"/>
      <w:rPr>
        <w:b/>
      </w:rPr>
    </w:pPr>
    <w:r w:rsidRPr="00C926F0">
      <w:rPr>
        <w:b/>
      </w:rPr>
      <w:t>KM RPO WK-P na lata 2014-2020</w:t>
    </w:r>
  </w:p>
  <w:p w:rsidR="003E0221" w:rsidRPr="00C926F0" w:rsidRDefault="003E0221" w:rsidP="003E0221">
    <w:pPr>
      <w:spacing w:after="0"/>
      <w:ind w:left="3540" w:firstLine="708"/>
      <w:rPr>
        <w:b/>
      </w:rPr>
    </w:pPr>
    <w:r w:rsidRPr="00C926F0">
      <w:rPr>
        <w:b/>
      </w:rPr>
      <w:t xml:space="preserve">z dnia 28 lutego 2019 r. </w:t>
    </w:r>
  </w:p>
  <w:p w:rsidR="003E0221" w:rsidRDefault="003E022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5AC"/>
    <w:multiLevelType w:val="hybridMultilevel"/>
    <w:tmpl w:val="8DE4DC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1E244A8"/>
    <w:multiLevelType w:val="hybridMultilevel"/>
    <w:tmpl w:val="B9F81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44E20DA"/>
    <w:multiLevelType w:val="hybridMultilevel"/>
    <w:tmpl w:val="001A66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683050"/>
    <w:rsid w:val="000633EC"/>
    <w:rsid w:val="000D7119"/>
    <w:rsid w:val="000E32B0"/>
    <w:rsid w:val="001A76AA"/>
    <w:rsid w:val="002006FF"/>
    <w:rsid w:val="002140B0"/>
    <w:rsid w:val="00242D5C"/>
    <w:rsid w:val="00244AB9"/>
    <w:rsid w:val="00247A3F"/>
    <w:rsid w:val="00282C95"/>
    <w:rsid w:val="00295B91"/>
    <w:rsid w:val="002B2C0C"/>
    <w:rsid w:val="002C6948"/>
    <w:rsid w:val="002D6C55"/>
    <w:rsid w:val="002F335D"/>
    <w:rsid w:val="00324B81"/>
    <w:rsid w:val="003264DD"/>
    <w:rsid w:val="003634F8"/>
    <w:rsid w:val="003671FD"/>
    <w:rsid w:val="00372A13"/>
    <w:rsid w:val="003E0221"/>
    <w:rsid w:val="003F7E2A"/>
    <w:rsid w:val="00445077"/>
    <w:rsid w:val="0048317E"/>
    <w:rsid w:val="004B3E6B"/>
    <w:rsid w:val="004F04EB"/>
    <w:rsid w:val="004F2F17"/>
    <w:rsid w:val="00563654"/>
    <w:rsid w:val="00575E61"/>
    <w:rsid w:val="005D0158"/>
    <w:rsid w:val="0063344E"/>
    <w:rsid w:val="00683050"/>
    <w:rsid w:val="00690B3A"/>
    <w:rsid w:val="006C6526"/>
    <w:rsid w:val="00720F0D"/>
    <w:rsid w:val="00761B2A"/>
    <w:rsid w:val="00767A34"/>
    <w:rsid w:val="00780D47"/>
    <w:rsid w:val="00790ED5"/>
    <w:rsid w:val="00792457"/>
    <w:rsid w:val="00814727"/>
    <w:rsid w:val="00855C79"/>
    <w:rsid w:val="0089594B"/>
    <w:rsid w:val="008A1B97"/>
    <w:rsid w:val="008F29A1"/>
    <w:rsid w:val="00914FF8"/>
    <w:rsid w:val="00964E77"/>
    <w:rsid w:val="009F3A07"/>
    <w:rsid w:val="00A139A2"/>
    <w:rsid w:val="00A51E92"/>
    <w:rsid w:val="00A714F6"/>
    <w:rsid w:val="00AE602C"/>
    <w:rsid w:val="00B02CBB"/>
    <w:rsid w:val="00B46C99"/>
    <w:rsid w:val="00BA31B8"/>
    <w:rsid w:val="00BA58D4"/>
    <w:rsid w:val="00BB1ED4"/>
    <w:rsid w:val="00BE099D"/>
    <w:rsid w:val="00C01FFF"/>
    <w:rsid w:val="00C2408C"/>
    <w:rsid w:val="00C70445"/>
    <w:rsid w:val="00C926F0"/>
    <w:rsid w:val="00CB02FA"/>
    <w:rsid w:val="00CB600C"/>
    <w:rsid w:val="00D00761"/>
    <w:rsid w:val="00D0522C"/>
    <w:rsid w:val="00DD3D05"/>
    <w:rsid w:val="00DF5E87"/>
    <w:rsid w:val="00E01BED"/>
    <w:rsid w:val="00E06338"/>
    <w:rsid w:val="00E13FCB"/>
    <w:rsid w:val="00E61954"/>
    <w:rsid w:val="00E77943"/>
    <w:rsid w:val="00EA52E4"/>
    <w:rsid w:val="00EC621B"/>
    <w:rsid w:val="00EE6C97"/>
    <w:rsid w:val="00EF215C"/>
    <w:rsid w:val="00F61968"/>
    <w:rsid w:val="00F851BD"/>
    <w:rsid w:val="00FA4C23"/>
    <w:rsid w:val="00FB03DE"/>
    <w:rsid w:val="00FB431B"/>
    <w:rsid w:val="00FC2E10"/>
    <w:rsid w:val="00FC69CE"/>
    <w:rsid w:val="00FD1DC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semiHidden/>
    <w:rsid w:val="00683050"/>
    <w:rPr>
      <w:rFonts w:asciiTheme="majorHAnsi" w:eastAsiaTheme="majorEastAsia" w:hAnsiTheme="majorHAnsi" w:cstheme="majorBidi"/>
      <w:b/>
      <w:bCs/>
      <w:color w:val="4F81BD" w:themeColor="accent1"/>
    </w:rPr>
  </w:style>
  <w:style w:type="paragraph" w:styleId="Akapitzlist">
    <w:name w:val="List Paragraph"/>
    <w:basedOn w:val="Normalny"/>
    <w:uiPriority w:val="34"/>
    <w:qFormat/>
    <w:rsid w:val="00242D5C"/>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EC621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EC621B"/>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EC621B"/>
    <w:rPr>
      <w:vertAlign w:val="superscript"/>
    </w:rPr>
  </w:style>
  <w:style w:type="paragraph" w:styleId="Nagwek">
    <w:name w:val="header"/>
    <w:basedOn w:val="Normalny"/>
    <w:link w:val="NagwekZnak"/>
    <w:uiPriority w:val="99"/>
    <w:unhideWhenUsed/>
    <w:rsid w:val="00DD3D0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3D05"/>
    <w:rPr>
      <w:rFonts w:ascii="Calibri" w:eastAsia="Calibri" w:hAnsi="Calibri" w:cs="Times New Roman"/>
    </w:rPr>
  </w:style>
  <w:style w:type="paragraph" w:styleId="Stopka">
    <w:name w:val="footer"/>
    <w:basedOn w:val="Normalny"/>
    <w:link w:val="StopkaZnak"/>
    <w:uiPriority w:val="99"/>
    <w:unhideWhenUsed/>
    <w:rsid w:val="00DD3D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3D05"/>
    <w:rPr>
      <w:rFonts w:ascii="Calibri" w:eastAsia="Calibri" w:hAnsi="Calibri" w:cs="Times New Roman"/>
    </w:rPr>
  </w:style>
  <w:style w:type="character" w:styleId="Odwoaniedokomentarza">
    <w:name w:val="annotation reference"/>
    <w:basedOn w:val="Domylnaczcionkaakapitu"/>
    <w:uiPriority w:val="99"/>
    <w:semiHidden/>
    <w:unhideWhenUsed/>
    <w:rsid w:val="00324B81"/>
    <w:rPr>
      <w:sz w:val="16"/>
      <w:szCs w:val="16"/>
    </w:rPr>
  </w:style>
  <w:style w:type="paragraph" w:styleId="Tekstkomentarza">
    <w:name w:val="annotation text"/>
    <w:basedOn w:val="Normalny"/>
    <w:link w:val="TekstkomentarzaZnak"/>
    <w:uiPriority w:val="99"/>
    <w:semiHidden/>
    <w:unhideWhenUsed/>
    <w:rsid w:val="00324B8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B8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24B81"/>
    <w:rPr>
      <w:b/>
      <w:bCs/>
    </w:rPr>
  </w:style>
  <w:style w:type="character" w:customStyle="1" w:styleId="TematkomentarzaZnak">
    <w:name w:val="Temat komentarza Znak"/>
    <w:basedOn w:val="TekstkomentarzaZnak"/>
    <w:link w:val="Tematkomentarza"/>
    <w:uiPriority w:val="99"/>
    <w:semiHidden/>
    <w:rsid w:val="00324B81"/>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324B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4B81"/>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1040919">
      <w:bodyDiv w:val="1"/>
      <w:marLeft w:val="0"/>
      <w:marRight w:val="0"/>
      <w:marTop w:val="0"/>
      <w:marBottom w:val="0"/>
      <w:divBdr>
        <w:top w:val="none" w:sz="0" w:space="0" w:color="auto"/>
        <w:left w:val="none" w:sz="0" w:space="0" w:color="auto"/>
        <w:bottom w:val="none" w:sz="0" w:space="0" w:color="auto"/>
        <w:right w:val="none" w:sz="0" w:space="0" w:color="auto"/>
      </w:divBdr>
    </w:div>
    <w:div w:id="349794938">
      <w:bodyDiv w:val="1"/>
      <w:marLeft w:val="0"/>
      <w:marRight w:val="0"/>
      <w:marTop w:val="0"/>
      <w:marBottom w:val="0"/>
      <w:divBdr>
        <w:top w:val="none" w:sz="0" w:space="0" w:color="auto"/>
        <w:left w:val="none" w:sz="0" w:space="0" w:color="auto"/>
        <w:bottom w:val="none" w:sz="0" w:space="0" w:color="auto"/>
        <w:right w:val="none" w:sz="0" w:space="0" w:color="auto"/>
      </w:divBdr>
      <w:divsChild>
        <w:div w:id="973830166">
          <w:marLeft w:val="0"/>
          <w:marRight w:val="0"/>
          <w:marTop w:val="0"/>
          <w:marBottom w:val="0"/>
          <w:divBdr>
            <w:top w:val="none" w:sz="0" w:space="0" w:color="auto"/>
            <w:left w:val="none" w:sz="0" w:space="0" w:color="auto"/>
            <w:bottom w:val="none" w:sz="0" w:space="0" w:color="auto"/>
            <w:right w:val="none" w:sz="0" w:space="0" w:color="auto"/>
          </w:divBdr>
        </w:div>
        <w:div w:id="2133472078">
          <w:marLeft w:val="0"/>
          <w:marRight w:val="0"/>
          <w:marTop w:val="0"/>
          <w:marBottom w:val="0"/>
          <w:divBdr>
            <w:top w:val="none" w:sz="0" w:space="0" w:color="auto"/>
            <w:left w:val="none" w:sz="0" w:space="0" w:color="auto"/>
            <w:bottom w:val="none" w:sz="0" w:space="0" w:color="auto"/>
            <w:right w:val="none" w:sz="0" w:space="0" w:color="auto"/>
          </w:divBdr>
        </w:div>
        <w:div w:id="1200627156">
          <w:marLeft w:val="0"/>
          <w:marRight w:val="0"/>
          <w:marTop w:val="0"/>
          <w:marBottom w:val="0"/>
          <w:divBdr>
            <w:top w:val="none" w:sz="0" w:space="0" w:color="auto"/>
            <w:left w:val="none" w:sz="0" w:space="0" w:color="auto"/>
            <w:bottom w:val="none" w:sz="0" w:space="0" w:color="auto"/>
            <w:right w:val="none" w:sz="0" w:space="0" w:color="auto"/>
          </w:divBdr>
        </w:div>
        <w:div w:id="1280256353">
          <w:marLeft w:val="0"/>
          <w:marRight w:val="0"/>
          <w:marTop w:val="0"/>
          <w:marBottom w:val="0"/>
          <w:divBdr>
            <w:top w:val="none" w:sz="0" w:space="0" w:color="auto"/>
            <w:left w:val="none" w:sz="0" w:space="0" w:color="auto"/>
            <w:bottom w:val="none" w:sz="0" w:space="0" w:color="auto"/>
            <w:right w:val="none" w:sz="0" w:space="0" w:color="auto"/>
          </w:divBdr>
        </w:div>
        <w:div w:id="1915433634">
          <w:marLeft w:val="0"/>
          <w:marRight w:val="0"/>
          <w:marTop w:val="0"/>
          <w:marBottom w:val="0"/>
          <w:divBdr>
            <w:top w:val="none" w:sz="0" w:space="0" w:color="auto"/>
            <w:left w:val="none" w:sz="0" w:space="0" w:color="auto"/>
            <w:bottom w:val="none" w:sz="0" w:space="0" w:color="auto"/>
            <w:right w:val="none" w:sz="0" w:space="0" w:color="auto"/>
          </w:divBdr>
        </w:div>
        <w:div w:id="252058949">
          <w:marLeft w:val="0"/>
          <w:marRight w:val="0"/>
          <w:marTop w:val="0"/>
          <w:marBottom w:val="0"/>
          <w:divBdr>
            <w:top w:val="none" w:sz="0" w:space="0" w:color="auto"/>
            <w:left w:val="none" w:sz="0" w:space="0" w:color="auto"/>
            <w:bottom w:val="none" w:sz="0" w:space="0" w:color="auto"/>
            <w:right w:val="none" w:sz="0" w:space="0" w:color="auto"/>
          </w:divBdr>
        </w:div>
        <w:div w:id="44372618">
          <w:marLeft w:val="0"/>
          <w:marRight w:val="0"/>
          <w:marTop w:val="0"/>
          <w:marBottom w:val="0"/>
          <w:divBdr>
            <w:top w:val="none" w:sz="0" w:space="0" w:color="auto"/>
            <w:left w:val="none" w:sz="0" w:space="0" w:color="auto"/>
            <w:bottom w:val="none" w:sz="0" w:space="0" w:color="auto"/>
            <w:right w:val="none" w:sz="0" w:space="0" w:color="auto"/>
          </w:divBdr>
        </w:div>
        <w:div w:id="1209144235">
          <w:marLeft w:val="0"/>
          <w:marRight w:val="0"/>
          <w:marTop w:val="0"/>
          <w:marBottom w:val="0"/>
          <w:divBdr>
            <w:top w:val="none" w:sz="0" w:space="0" w:color="auto"/>
            <w:left w:val="none" w:sz="0" w:space="0" w:color="auto"/>
            <w:bottom w:val="none" w:sz="0" w:space="0" w:color="auto"/>
            <w:right w:val="none" w:sz="0" w:space="0" w:color="auto"/>
          </w:divBdr>
        </w:div>
        <w:div w:id="448553214">
          <w:marLeft w:val="0"/>
          <w:marRight w:val="0"/>
          <w:marTop w:val="0"/>
          <w:marBottom w:val="0"/>
          <w:divBdr>
            <w:top w:val="none" w:sz="0" w:space="0" w:color="auto"/>
            <w:left w:val="none" w:sz="0" w:space="0" w:color="auto"/>
            <w:bottom w:val="none" w:sz="0" w:space="0" w:color="auto"/>
            <w:right w:val="none" w:sz="0" w:space="0" w:color="auto"/>
          </w:divBdr>
        </w:div>
        <w:div w:id="189534302">
          <w:marLeft w:val="0"/>
          <w:marRight w:val="0"/>
          <w:marTop w:val="0"/>
          <w:marBottom w:val="0"/>
          <w:divBdr>
            <w:top w:val="none" w:sz="0" w:space="0" w:color="auto"/>
            <w:left w:val="none" w:sz="0" w:space="0" w:color="auto"/>
            <w:bottom w:val="none" w:sz="0" w:space="0" w:color="auto"/>
            <w:right w:val="none" w:sz="0" w:space="0" w:color="auto"/>
          </w:divBdr>
        </w:div>
        <w:div w:id="1831751993">
          <w:marLeft w:val="0"/>
          <w:marRight w:val="0"/>
          <w:marTop w:val="0"/>
          <w:marBottom w:val="0"/>
          <w:divBdr>
            <w:top w:val="none" w:sz="0" w:space="0" w:color="auto"/>
            <w:left w:val="none" w:sz="0" w:space="0" w:color="auto"/>
            <w:bottom w:val="none" w:sz="0" w:space="0" w:color="auto"/>
            <w:right w:val="none" w:sz="0" w:space="0" w:color="auto"/>
          </w:divBdr>
        </w:div>
        <w:div w:id="426460046">
          <w:marLeft w:val="0"/>
          <w:marRight w:val="0"/>
          <w:marTop w:val="0"/>
          <w:marBottom w:val="0"/>
          <w:divBdr>
            <w:top w:val="none" w:sz="0" w:space="0" w:color="auto"/>
            <w:left w:val="none" w:sz="0" w:space="0" w:color="auto"/>
            <w:bottom w:val="none" w:sz="0" w:space="0" w:color="auto"/>
            <w:right w:val="none" w:sz="0" w:space="0" w:color="auto"/>
          </w:divBdr>
        </w:div>
        <w:div w:id="1167987841">
          <w:marLeft w:val="0"/>
          <w:marRight w:val="0"/>
          <w:marTop w:val="0"/>
          <w:marBottom w:val="0"/>
          <w:divBdr>
            <w:top w:val="none" w:sz="0" w:space="0" w:color="auto"/>
            <w:left w:val="none" w:sz="0" w:space="0" w:color="auto"/>
            <w:bottom w:val="none" w:sz="0" w:space="0" w:color="auto"/>
            <w:right w:val="none" w:sz="0" w:space="0" w:color="auto"/>
          </w:divBdr>
        </w:div>
        <w:div w:id="921336377">
          <w:marLeft w:val="0"/>
          <w:marRight w:val="0"/>
          <w:marTop w:val="0"/>
          <w:marBottom w:val="0"/>
          <w:divBdr>
            <w:top w:val="none" w:sz="0" w:space="0" w:color="auto"/>
            <w:left w:val="none" w:sz="0" w:space="0" w:color="auto"/>
            <w:bottom w:val="none" w:sz="0" w:space="0" w:color="auto"/>
            <w:right w:val="none" w:sz="0" w:space="0" w:color="auto"/>
          </w:divBdr>
        </w:div>
        <w:div w:id="107240129">
          <w:marLeft w:val="0"/>
          <w:marRight w:val="0"/>
          <w:marTop w:val="0"/>
          <w:marBottom w:val="0"/>
          <w:divBdr>
            <w:top w:val="none" w:sz="0" w:space="0" w:color="auto"/>
            <w:left w:val="none" w:sz="0" w:space="0" w:color="auto"/>
            <w:bottom w:val="none" w:sz="0" w:space="0" w:color="auto"/>
            <w:right w:val="none" w:sz="0" w:space="0" w:color="auto"/>
          </w:divBdr>
        </w:div>
        <w:div w:id="1166899644">
          <w:marLeft w:val="0"/>
          <w:marRight w:val="0"/>
          <w:marTop w:val="0"/>
          <w:marBottom w:val="0"/>
          <w:divBdr>
            <w:top w:val="none" w:sz="0" w:space="0" w:color="auto"/>
            <w:left w:val="none" w:sz="0" w:space="0" w:color="auto"/>
            <w:bottom w:val="none" w:sz="0" w:space="0" w:color="auto"/>
            <w:right w:val="none" w:sz="0" w:space="0" w:color="auto"/>
          </w:divBdr>
        </w:div>
        <w:div w:id="1563520994">
          <w:marLeft w:val="0"/>
          <w:marRight w:val="0"/>
          <w:marTop w:val="0"/>
          <w:marBottom w:val="0"/>
          <w:divBdr>
            <w:top w:val="none" w:sz="0" w:space="0" w:color="auto"/>
            <w:left w:val="none" w:sz="0" w:space="0" w:color="auto"/>
            <w:bottom w:val="none" w:sz="0" w:space="0" w:color="auto"/>
            <w:right w:val="none" w:sz="0" w:space="0" w:color="auto"/>
          </w:divBdr>
        </w:div>
        <w:div w:id="1424911961">
          <w:marLeft w:val="0"/>
          <w:marRight w:val="0"/>
          <w:marTop w:val="0"/>
          <w:marBottom w:val="0"/>
          <w:divBdr>
            <w:top w:val="none" w:sz="0" w:space="0" w:color="auto"/>
            <w:left w:val="none" w:sz="0" w:space="0" w:color="auto"/>
            <w:bottom w:val="none" w:sz="0" w:space="0" w:color="auto"/>
            <w:right w:val="none" w:sz="0" w:space="0" w:color="auto"/>
          </w:divBdr>
        </w:div>
        <w:div w:id="1907956544">
          <w:marLeft w:val="0"/>
          <w:marRight w:val="0"/>
          <w:marTop w:val="0"/>
          <w:marBottom w:val="0"/>
          <w:divBdr>
            <w:top w:val="none" w:sz="0" w:space="0" w:color="auto"/>
            <w:left w:val="none" w:sz="0" w:space="0" w:color="auto"/>
            <w:bottom w:val="none" w:sz="0" w:space="0" w:color="auto"/>
            <w:right w:val="none" w:sz="0" w:space="0" w:color="auto"/>
          </w:divBdr>
        </w:div>
        <w:div w:id="1795830469">
          <w:marLeft w:val="0"/>
          <w:marRight w:val="0"/>
          <w:marTop w:val="0"/>
          <w:marBottom w:val="0"/>
          <w:divBdr>
            <w:top w:val="none" w:sz="0" w:space="0" w:color="auto"/>
            <w:left w:val="none" w:sz="0" w:space="0" w:color="auto"/>
            <w:bottom w:val="none" w:sz="0" w:space="0" w:color="auto"/>
            <w:right w:val="none" w:sz="0" w:space="0" w:color="auto"/>
          </w:divBdr>
        </w:div>
        <w:div w:id="1246572435">
          <w:marLeft w:val="0"/>
          <w:marRight w:val="0"/>
          <w:marTop w:val="0"/>
          <w:marBottom w:val="0"/>
          <w:divBdr>
            <w:top w:val="none" w:sz="0" w:space="0" w:color="auto"/>
            <w:left w:val="none" w:sz="0" w:space="0" w:color="auto"/>
            <w:bottom w:val="none" w:sz="0" w:space="0" w:color="auto"/>
            <w:right w:val="none" w:sz="0" w:space="0" w:color="auto"/>
          </w:divBdr>
        </w:div>
        <w:div w:id="635599044">
          <w:marLeft w:val="0"/>
          <w:marRight w:val="0"/>
          <w:marTop w:val="0"/>
          <w:marBottom w:val="0"/>
          <w:divBdr>
            <w:top w:val="none" w:sz="0" w:space="0" w:color="auto"/>
            <w:left w:val="none" w:sz="0" w:space="0" w:color="auto"/>
            <w:bottom w:val="none" w:sz="0" w:space="0" w:color="auto"/>
            <w:right w:val="none" w:sz="0" w:space="0" w:color="auto"/>
          </w:divBdr>
        </w:div>
        <w:div w:id="642588328">
          <w:marLeft w:val="0"/>
          <w:marRight w:val="0"/>
          <w:marTop w:val="0"/>
          <w:marBottom w:val="0"/>
          <w:divBdr>
            <w:top w:val="none" w:sz="0" w:space="0" w:color="auto"/>
            <w:left w:val="none" w:sz="0" w:space="0" w:color="auto"/>
            <w:bottom w:val="none" w:sz="0" w:space="0" w:color="auto"/>
            <w:right w:val="none" w:sz="0" w:space="0" w:color="auto"/>
          </w:divBdr>
        </w:div>
      </w:divsChild>
    </w:div>
    <w:div w:id="471603111">
      <w:bodyDiv w:val="1"/>
      <w:marLeft w:val="0"/>
      <w:marRight w:val="0"/>
      <w:marTop w:val="0"/>
      <w:marBottom w:val="0"/>
      <w:divBdr>
        <w:top w:val="none" w:sz="0" w:space="0" w:color="auto"/>
        <w:left w:val="none" w:sz="0" w:space="0" w:color="auto"/>
        <w:bottom w:val="none" w:sz="0" w:space="0" w:color="auto"/>
        <w:right w:val="none" w:sz="0" w:space="0" w:color="auto"/>
      </w:divBdr>
    </w:div>
    <w:div w:id="528029243">
      <w:bodyDiv w:val="1"/>
      <w:marLeft w:val="0"/>
      <w:marRight w:val="0"/>
      <w:marTop w:val="0"/>
      <w:marBottom w:val="0"/>
      <w:divBdr>
        <w:top w:val="none" w:sz="0" w:space="0" w:color="auto"/>
        <w:left w:val="none" w:sz="0" w:space="0" w:color="auto"/>
        <w:bottom w:val="none" w:sz="0" w:space="0" w:color="auto"/>
        <w:right w:val="none" w:sz="0" w:space="0" w:color="auto"/>
      </w:divBdr>
    </w:div>
    <w:div w:id="1259095115">
      <w:bodyDiv w:val="1"/>
      <w:marLeft w:val="0"/>
      <w:marRight w:val="0"/>
      <w:marTop w:val="0"/>
      <w:marBottom w:val="0"/>
      <w:divBdr>
        <w:top w:val="none" w:sz="0" w:space="0" w:color="auto"/>
        <w:left w:val="none" w:sz="0" w:space="0" w:color="auto"/>
        <w:bottom w:val="none" w:sz="0" w:space="0" w:color="auto"/>
        <w:right w:val="none" w:sz="0" w:space="0" w:color="auto"/>
      </w:divBdr>
    </w:div>
    <w:div w:id="1610311921">
      <w:bodyDiv w:val="1"/>
      <w:marLeft w:val="0"/>
      <w:marRight w:val="0"/>
      <w:marTop w:val="0"/>
      <w:marBottom w:val="0"/>
      <w:divBdr>
        <w:top w:val="none" w:sz="0" w:space="0" w:color="auto"/>
        <w:left w:val="none" w:sz="0" w:space="0" w:color="auto"/>
        <w:bottom w:val="none" w:sz="0" w:space="0" w:color="auto"/>
        <w:right w:val="none" w:sz="0" w:space="0" w:color="auto"/>
      </w:divBdr>
    </w:div>
    <w:div w:id="1719547772">
      <w:bodyDiv w:val="1"/>
      <w:marLeft w:val="0"/>
      <w:marRight w:val="0"/>
      <w:marTop w:val="0"/>
      <w:marBottom w:val="0"/>
      <w:divBdr>
        <w:top w:val="none" w:sz="0" w:space="0" w:color="auto"/>
        <w:left w:val="none" w:sz="0" w:space="0" w:color="auto"/>
        <w:bottom w:val="none" w:sz="0" w:space="0" w:color="auto"/>
        <w:right w:val="none" w:sz="0" w:space="0" w:color="auto"/>
      </w:divBdr>
    </w:div>
    <w:div w:id="2090341738">
      <w:bodyDiv w:val="1"/>
      <w:marLeft w:val="0"/>
      <w:marRight w:val="0"/>
      <w:marTop w:val="0"/>
      <w:marBottom w:val="0"/>
      <w:divBdr>
        <w:top w:val="none" w:sz="0" w:space="0" w:color="auto"/>
        <w:left w:val="none" w:sz="0" w:space="0" w:color="auto"/>
        <w:bottom w:val="none" w:sz="0" w:space="0" w:color="auto"/>
        <w:right w:val="none" w:sz="0" w:space="0" w:color="auto"/>
      </w:divBdr>
    </w:div>
    <w:div w:id="213347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9CE89-CB24-4CD7-BBAD-7B9628873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1179</Words>
  <Characters>7080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dorota.sawicka</cp:lastModifiedBy>
  <cp:revision>57</cp:revision>
  <dcterms:created xsi:type="dcterms:W3CDTF">2017-11-30T11:26:00Z</dcterms:created>
  <dcterms:modified xsi:type="dcterms:W3CDTF">2019-03-05T10:21:00Z</dcterms:modified>
</cp:coreProperties>
</file>